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6C25" w:rsidRDefault="00536C25" w:rsidP="00CD2324">
      <w:pPr>
        <w:pStyle w:val="NormalWeb"/>
        <w:shd w:val="clear" w:color="auto" w:fill="FFFFFF"/>
        <w:rPr>
          <w:rFonts w:ascii="Open Sans" w:hAnsi="Open Sans" w:cs="Open Sans"/>
          <w:b/>
          <w:bCs/>
          <w:color w:val="000000" w:themeColor="text1"/>
          <w:spacing w:val="2"/>
        </w:rPr>
      </w:pPr>
      <w:r w:rsidRPr="00536C25">
        <w:rPr>
          <w:rFonts w:ascii="Open Sans" w:hAnsi="Open Sans" w:cs="Open Sans"/>
          <w:b/>
          <w:bCs/>
          <w:color w:val="000000" w:themeColor="text1"/>
          <w:spacing w:val="2"/>
        </w:rPr>
        <w:t>Topic 10 DQ 2</w:t>
      </w:r>
      <w:r w:rsidR="00CD2324">
        <w:rPr>
          <w:rFonts w:ascii="Open Sans" w:hAnsi="Open Sans" w:cs="Open Sans"/>
          <w:b/>
          <w:bCs/>
          <w:color w:val="000000" w:themeColor="text1"/>
          <w:spacing w:val="2"/>
        </w:rPr>
        <w:t xml:space="preserve"> Responses</w:t>
      </w:r>
    </w:p>
    <w:p w:rsidR="00CD2324" w:rsidRDefault="00CD2324" w:rsidP="00CD2324">
      <w:pPr>
        <w:pStyle w:val="NormalWeb"/>
        <w:shd w:val="clear" w:color="auto" w:fill="FFFFFF"/>
        <w:rPr>
          <w:rFonts w:ascii="Open Sans" w:hAnsi="Open Sans" w:cs="Open Sans"/>
          <w:b/>
          <w:bCs/>
          <w:color w:val="000000" w:themeColor="text1"/>
          <w:spacing w:val="2"/>
        </w:rPr>
      </w:pPr>
      <w:r>
        <w:rPr>
          <w:rFonts w:ascii="Open Sans" w:hAnsi="Open Sans" w:cs="Open Sans"/>
          <w:b/>
          <w:bCs/>
          <w:color w:val="000000" w:themeColor="text1"/>
          <w:spacing w:val="2"/>
        </w:rPr>
        <w:t>Manu’s Discussion</w:t>
      </w:r>
    </w:p>
    <w:p w:rsidR="00CD2324" w:rsidRPr="00CD2324" w:rsidRDefault="00CD2324" w:rsidP="00CD2324">
      <w:pPr>
        <w:pStyle w:val="NormalWeb"/>
        <w:shd w:val="clear" w:color="auto" w:fill="FFFFFF"/>
        <w:spacing w:line="276" w:lineRule="auto"/>
        <w:rPr>
          <w:rFonts w:ascii="Open Sans" w:hAnsi="Open Sans" w:cs="Open Sans"/>
          <w:b/>
          <w:bCs/>
          <w:color w:val="000000" w:themeColor="text1"/>
          <w:spacing w:val="2"/>
        </w:rPr>
      </w:pPr>
      <w:r>
        <w:rPr>
          <w:color w:val="212121"/>
          <w:spacing w:val="2"/>
          <w:bdr w:val="none" w:sz="0" w:space="0" w:color="auto" w:frame="1"/>
        </w:rPr>
        <w:t>Evidence-based practice (EBP) is a core element for the BSN-prepared registered nurse to ensure that patient care is based on the most current research, clinical expertise, and patient values. The use of evidence in daily practice enables nurses to optimize patients’ outcomes, enhance safety standards, and boost the credibility of the nursing profession. Without the use of EBP, nursing care is at risk of being influenced by outdated customs or personal beliefs instead of evidence-based approaches.</w:t>
      </w:r>
    </w:p>
    <w:p w:rsidR="00CD2324" w:rsidRDefault="00CD2324" w:rsidP="00CD2324">
      <w:pPr>
        <w:pStyle w:val="NormalWeb"/>
        <w:shd w:val="clear" w:color="auto" w:fill="FFFFFF"/>
        <w:spacing w:before="0" w:beforeAutospacing="0" w:after="0" w:afterAutospacing="0" w:line="276" w:lineRule="auto"/>
        <w:rPr>
          <w:rFonts w:ascii="Calibri" w:hAnsi="Calibri" w:cs="Calibri"/>
          <w:color w:val="212121"/>
          <w:spacing w:val="2"/>
        </w:rPr>
      </w:pPr>
      <w:r>
        <w:rPr>
          <w:color w:val="212121"/>
          <w:spacing w:val="2"/>
          <w:bdr w:val="none" w:sz="0" w:space="0" w:color="auto" w:frame="1"/>
        </w:rPr>
        <w:t>Professional accountability is deeply intertwined with the successful execution of EBP. Nurses hold a responsibility to their patients, peers, and the broader healthcare field to deliver care that is up-to-date, highly effective, and ethically sound. This duty demands a commitment to continuously monitoring new research, evaluating data critically, and translating those findings into clinical practice. Ultimately, this accountability solidifies EBP as a mandatory professional duty rather than a voluntary option.</w:t>
      </w:r>
    </w:p>
    <w:p w:rsidR="00CD2324" w:rsidRDefault="00CD2324" w:rsidP="00CD2324">
      <w:pPr>
        <w:pStyle w:val="NormalWeb"/>
        <w:shd w:val="clear" w:color="auto" w:fill="FFFFFF"/>
        <w:spacing w:before="0" w:beforeAutospacing="0" w:after="0" w:afterAutospacing="0" w:line="276" w:lineRule="auto"/>
        <w:rPr>
          <w:rFonts w:ascii="Calibri" w:hAnsi="Calibri" w:cs="Calibri"/>
          <w:color w:val="212121"/>
          <w:spacing w:val="2"/>
        </w:rPr>
      </w:pPr>
      <w:r>
        <w:rPr>
          <w:color w:val="212121"/>
          <w:spacing w:val="2"/>
          <w:bdr w:val="none" w:sz="0" w:space="0" w:color="auto" w:frame="1"/>
        </w:rPr>
        <w:t>I plan to consistently incorporate evidence into my clinical practice by routinely reading contemporary nursing journals and actively engaging in workplace quality improvement projects. Furthermore, I will promote the use of EBP among my peers by presenting recent research discoveries during staff gatherings and guiding junior nurses in utilizing evidence for clinical decision-making (Ruppel &amp; Bone, 2022).</w:t>
      </w:r>
    </w:p>
    <w:p w:rsidR="00CD2324" w:rsidRDefault="00CD2324" w:rsidP="00CD2324">
      <w:pPr>
        <w:pStyle w:val="NormalWeb"/>
        <w:shd w:val="clear" w:color="auto" w:fill="FFFFFF"/>
        <w:spacing w:before="0" w:beforeAutospacing="0" w:after="0" w:afterAutospacing="0" w:line="276" w:lineRule="auto"/>
        <w:rPr>
          <w:rFonts w:ascii="Calibri" w:hAnsi="Calibri" w:cs="Calibri"/>
          <w:color w:val="212121"/>
          <w:spacing w:val="2"/>
        </w:rPr>
      </w:pPr>
      <w:r>
        <w:rPr>
          <w:color w:val="212121"/>
          <w:spacing w:val="2"/>
          <w:bdr w:val="none" w:sz="0" w:space="0" w:color="auto" w:frame="1"/>
        </w:rPr>
        <w:t>The possible barriers to the implementation of this plan are lack of time, resistance to change from the system, and limited access to educational sources (Mun et al., 2022). To address these issues, I will emphasize the value of professional development, speak for the need for institutional access to research databases, and clearly articulate the tangible benefits of EBP for patient care. By promoting an evidence-based nursing culture, I can help develop a healthcare environment that is reliably safe, effective, and patient-oriented.</w:t>
      </w:r>
    </w:p>
    <w:p w:rsidR="00CD2324" w:rsidRPr="00191591" w:rsidRDefault="00CD2324" w:rsidP="00CD2324">
      <w:pPr>
        <w:pStyle w:val="NormalWeb"/>
        <w:shd w:val="clear" w:color="auto" w:fill="FFFFFF"/>
        <w:spacing w:before="0" w:beforeAutospacing="0" w:after="0" w:afterAutospacing="0" w:line="276" w:lineRule="auto"/>
        <w:rPr>
          <w:rFonts w:ascii="Calibri" w:hAnsi="Calibri" w:cs="Calibri"/>
          <w:b/>
          <w:bCs/>
          <w:color w:val="212121"/>
          <w:spacing w:val="2"/>
        </w:rPr>
      </w:pPr>
      <w:r w:rsidRPr="00191591">
        <w:rPr>
          <w:b/>
          <w:bCs/>
          <w:color w:val="212121"/>
          <w:spacing w:val="2"/>
          <w:bdr w:val="none" w:sz="0" w:space="0" w:color="auto" w:frame="1"/>
        </w:rPr>
        <w:t>References</w:t>
      </w:r>
    </w:p>
    <w:p w:rsidR="00CD2324" w:rsidRDefault="00CD2324" w:rsidP="00CD2324">
      <w:pPr>
        <w:pStyle w:val="NormalWeb"/>
        <w:shd w:val="clear" w:color="auto" w:fill="FFFFFF"/>
        <w:spacing w:before="0" w:beforeAutospacing="0" w:after="0" w:afterAutospacing="0" w:line="276" w:lineRule="auto"/>
        <w:rPr>
          <w:rFonts w:ascii="Calibri" w:hAnsi="Calibri" w:cs="Calibri"/>
          <w:color w:val="212121"/>
          <w:spacing w:val="2"/>
        </w:rPr>
      </w:pPr>
      <w:r>
        <w:rPr>
          <w:color w:val="212121"/>
          <w:spacing w:val="2"/>
          <w:bdr w:val="none" w:sz="0" w:space="0" w:color="auto" w:frame="1"/>
        </w:rPr>
        <w:t>Mun, K., Lee, M., &amp; Shim, J. (2024, November). Effects of work engagement and barriers on evidence-based practice implementation for clinical nurses: a cross-sectional study. In </w:t>
      </w:r>
      <w:r>
        <w:rPr>
          <w:rStyle w:val="Emphasis"/>
          <w:rFonts w:ascii="inherit" w:hAnsi="inherit"/>
          <w:color w:val="212121"/>
          <w:spacing w:val="2"/>
          <w:bdr w:val="none" w:sz="0" w:space="0" w:color="auto" w:frame="1"/>
        </w:rPr>
        <w:t>Healthcare</w:t>
      </w:r>
      <w:r>
        <w:rPr>
          <w:color w:val="212121"/>
          <w:spacing w:val="2"/>
          <w:bdr w:val="none" w:sz="0" w:space="0" w:color="auto" w:frame="1"/>
        </w:rPr>
        <w:t> (Vol. 12, No. 22, p. 2223). MDPI. </w:t>
      </w:r>
      <w:hyperlink r:id="rId4" w:tgtFrame="_blank" w:history="1">
        <w:r>
          <w:rPr>
            <w:rStyle w:val="Hyperlink"/>
            <w:color w:val="1A65B0"/>
            <w:spacing w:val="2"/>
            <w:bdr w:val="none" w:sz="0" w:space="0" w:color="auto" w:frame="1"/>
          </w:rPr>
          <w:t>https://doi.org/10.3390/healthcare12222223</w:t>
        </w:r>
      </w:hyperlink>
    </w:p>
    <w:p w:rsidR="00CD2324" w:rsidRDefault="00CD2324" w:rsidP="00CD2324">
      <w:pPr>
        <w:pStyle w:val="NormalWeb"/>
        <w:shd w:val="clear" w:color="auto" w:fill="FFFFFF"/>
        <w:spacing w:before="0" w:beforeAutospacing="0" w:after="0" w:afterAutospacing="0" w:line="276" w:lineRule="auto"/>
        <w:rPr>
          <w:rFonts w:ascii="Calibri" w:hAnsi="Calibri" w:cs="Calibri"/>
          <w:color w:val="212121"/>
          <w:spacing w:val="2"/>
        </w:rPr>
      </w:pPr>
      <w:r>
        <w:rPr>
          <w:color w:val="212121"/>
          <w:spacing w:val="2"/>
          <w:bdr w:val="none" w:sz="0" w:space="0" w:color="auto" w:frame="1"/>
        </w:rPr>
        <w:t>Ruppel, K. J., &amp; Bone, B. A. (2022). Teaching evidence‐based practice: Knowledge to implementation in a BSN program, part 1. </w:t>
      </w:r>
      <w:r>
        <w:rPr>
          <w:rStyle w:val="Emphasis"/>
          <w:rFonts w:ascii="inherit" w:hAnsi="inherit"/>
          <w:color w:val="212121"/>
          <w:spacing w:val="2"/>
          <w:bdr w:val="none" w:sz="0" w:space="0" w:color="auto" w:frame="1"/>
        </w:rPr>
        <w:t>Worldviews on Evidence‐Based Nursing</w:t>
      </w:r>
      <w:r>
        <w:rPr>
          <w:color w:val="212121"/>
          <w:spacing w:val="2"/>
          <w:bdr w:val="none" w:sz="0" w:space="0" w:color="auto" w:frame="1"/>
        </w:rPr>
        <w:t>, </w:t>
      </w:r>
      <w:r>
        <w:rPr>
          <w:rStyle w:val="Emphasis"/>
          <w:rFonts w:ascii="inherit" w:hAnsi="inherit"/>
          <w:color w:val="212121"/>
          <w:spacing w:val="2"/>
          <w:bdr w:val="none" w:sz="0" w:space="0" w:color="auto" w:frame="1"/>
        </w:rPr>
        <w:t>19</w:t>
      </w:r>
      <w:r>
        <w:rPr>
          <w:color w:val="212121"/>
          <w:spacing w:val="2"/>
          <w:bdr w:val="none" w:sz="0" w:space="0" w:color="auto" w:frame="1"/>
        </w:rPr>
        <w:t>(3), 245-250. </w:t>
      </w:r>
      <w:hyperlink r:id="rId5" w:tgtFrame="_blank" w:history="1">
        <w:r>
          <w:rPr>
            <w:rStyle w:val="Hyperlink"/>
            <w:color w:val="1A65B0"/>
            <w:spacing w:val="2"/>
            <w:bdr w:val="none" w:sz="0" w:space="0" w:color="auto" w:frame="1"/>
          </w:rPr>
          <w:t>https://doi.org/10.1111/wvn.12557</w:t>
        </w:r>
      </w:hyperlink>
    </w:p>
    <w:p w:rsidR="00B72657" w:rsidRDefault="00B72657"/>
    <w:p w:rsidR="00CD2324" w:rsidRDefault="00CD2324"/>
    <w:p w:rsidR="00CD2324" w:rsidRDefault="00CD2324"/>
    <w:p w:rsidR="00CD2324" w:rsidRDefault="00CD2324"/>
    <w:p w:rsidR="00CD2324" w:rsidRDefault="00CD2324"/>
    <w:p w:rsidR="00CD2324" w:rsidRDefault="00CD2324"/>
    <w:p w:rsidR="00CD2324" w:rsidRPr="00CD2324" w:rsidRDefault="00CD2324" w:rsidP="00CD2324">
      <w:pPr>
        <w:pStyle w:val="NormalWeb"/>
        <w:shd w:val="clear" w:color="auto" w:fill="FFFFFF"/>
        <w:spacing w:before="0" w:after="0" w:line="276" w:lineRule="auto"/>
        <w:rPr>
          <w:rFonts w:ascii="Open Sans" w:hAnsi="Open Sans" w:cs="Open Sans"/>
          <w:b/>
          <w:bCs/>
          <w:color w:val="4B352F"/>
          <w:spacing w:val="2"/>
          <w:sz w:val="21"/>
          <w:szCs w:val="21"/>
          <w:bdr w:val="none" w:sz="0" w:space="0" w:color="auto" w:frame="1"/>
        </w:rPr>
      </w:pPr>
      <w:r w:rsidRPr="00CD2324">
        <w:rPr>
          <w:rFonts w:ascii="Open Sans" w:hAnsi="Open Sans" w:cs="Open Sans"/>
          <w:b/>
          <w:bCs/>
          <w:color w:val="4B352F"/>
          <w:spacing w:val="2"/>
          <w:sz w:val="21"/>
          <w:szCs w:val="21"/>
          <w:bdr w:val="none" w:sz="0" w:space="0" w:color="auto" w:frame="1"/>
        </w:rPr>
        <w:lastRenderedPageBreak/>
        <w:t>Jessica’s Discussion</w:t>
      </w:r>
    </w:p>
    <w:p w:rsidR="00CD2324" w:rsidRDefault="00CD2324" w:rsidP="00CD2324">
      <w:pPr>
        <w:pStyle w:val="NormalWeb"/>
        <w:shd w:val="clear" w:color="auto" w:fill="FFFFFF"/>
        <w:spacing w:before="0" w:after="0" w:line="276" w:lineRule="auto"/>
        <w:rPr>
          <w:rFonts w:ascii="Open Sans" w:hAnsi="Open Sans" w:cs="Open Sans"/>
          <w:color w:val="212121"/>
          <w:spacing w:val="2"/>
          <w:sz w:val="21"/>
          <w:szCs w:val="21"/>
        </w:rPr>
      </w:pPr>
      <w:r>
        <w:rPr>
          <w:rFonts w:ascii="Open Sans" w:hAnsi="Open Sans" w:cs="Open Sans"/>
          <w:color w:val="4B352F"/>
          <w:spacing w:val="2"/>
          <w:sz w:val="21"/>
          <w:szCs w:val="21"/>
          <w:bdr w:val="none" w:sz="0" w:space="0" w:color="auto" w:frame="1"/>
        </w:rPr>
        <w:t>Evidence-based practice (EBP) is an essential part of being a BSN-prepared nurse because nursing is always changing, and we have a responsibility to make sure the care we provide is based on the best information available. It is easy to get comfortable doing things a certain way because that is how we were taught or how the facility has always done it. However, EBP encourages nurses to question whether our current practices are actually the safest and most effective for our patients. It also allows us to combine current research with our own clinical experience and each patient’s individual needs and preferences (Melnyk &amp; Fineout-Overholt, 2023).</w:t>
      </w:r>
    </w:p>
    <w:p w:rsidR="00CD2324" w:rsidRDefault="00CD2324" w:rsidP="00CD2324">
      <w:pPr>
        <w:pStyle w:val="NormalWeb"/>
        <w:shd w:val="clear" w:color="auto" w:fill="FFFFFF"/>
        <w:spacing w:before="0" w:after="0" w:line="276" w:lineRule="auto"/>
        <w:rPr>
          <w:rFonts w:ascii="Open Sans" w:hAnsi="Open Sans" w:cs="Open Sans"/>
          <w:color w:val="000000"/>
          <w:sz w:val="21"/>
          <w:szCs w:val="21"/>
        </w:rPr>
      </w:pPr>
      <w:r>
        <w:rPr>
          <w:rFonts w:ascii="Open Sans" w:hAnsi="Open Sans" w:cs="Open Sans"/>
          <w:color w:val="4B352F"/>
          <w:sz w:val="21"/>
          <w:szCs w:val="21"/>
          <w:bdr w:val="none" w:sz="0" w:space="0" w:color="auto" w:frame="1"/>
        </w:rPr>
        <w:t>I think professional accountability goes hand in hand with EBP. As nurses, we are responsible for the care we provide and the decisions we make every shift. Part of that responsibility is recognizing when something could be done better and being willing to speak up about it. This does not necessarily mean trying to change everything, but it does mean being open to new evidence and not continuing outdated practices simply because they are familiar. Having support from leadership and coworkers also makes it easier for nurses to actually put evidence into practice (Kawar et al., 2024).</w:t>
      </w:r>
    </w:p>
    <w:p w:rsidR="00CD2324" w:rsidRDefault="00CD2324" w:rsidP="00CD2324">
      <w:pPr>
        <w:pStyle w:val="NormalWeb"/>
        <w:shd w:val="clear" w:color="auto" w:fill="FFFFFF"/>
        <w:spacing w:before="0" w:after="0" w:line="276" w:lineRule="auto"/>
        <w:rPr>
          <w:rFonts w:ascii="Open Sans" w:hAnsi="Open Sans" w:cs="Open Sans"/>
          <w:color w:val="000000"/>
          <w:sz w:val="21"/>
          <w:szCs w:val="21"/>
        </w:rPr>
      </w:pPr>
      <w:r>
        <w:rPr>
          <w:rFonts w:ascii="Open Sans" w:hAnsi="Open Sans" w:cs="Open Sans"/>
          <w:color w:val="4B352F"/>
          <w:sz w:val="21"/>
          <w:szCs w:val="21"/>
          <w:bdr w:val="none" w:sz="0" w:space="0" w:color="auto" w:frame="1"/>
        </w:rPr>
        <w:t>Two ways I plan to continue using EBP are by keeping up with current nursing guidelines and research and by sharing new information with my coworkers when it could improve our practice. I also want to continue asking questions when I notice a practice that may need improvement rather than just accepting it. Realistically, barriers such as short staffing, lack of time, resistance to change, and limited resources can make EBP difficult. I would try to minimize these challenges by communicating why a change could benefit our patients, involving other nurses in the process, and asking leadership for support when needed. Ultimately, I think EBP is most successful when nurses understand why a change matters and can see how it improves the care we provide.</w:t>
      </w:r>
    </w:p>
    <w:p w:rsidR="00CD2324" w:rsidRPr="00CD2324" w:rsidRDefault="00CD2324" w:rsidP="00CD2324">
      <w:pPr>
        <w:pStyle w:val="NormalWeb"/>
        <w:shd w:val="clear" w:color="auto" w:fill="FFFFFF"/>
        <w:spacing w:before="0" w:after="0" w:line="276" w:lineRule="auto"/>
        <w:rPr>
          <w:rFonts w:ascii="Open Sans" w:hAnsi="Open Sans" w:cs="Open Sans"/>
          <w:b/>
          <w:bCs/>
          <w:color w:val="000000"/>
          <w:sz w:val="21"/>
          <w:szCs w:val="21"/>
        </w:rPr>
      </w:pPr>
      <w:r w:rsidRPr="00CD2324">
        <w:rPr>
          <w:rFonts w:ascii="Open Sans" w:hAnsi="Open Sans" w:cs="Open Sans"/>
          <w:b/>
          <w:bCs/>
          <w:color w:val="4B352F"/>
          <w:sz w:val="21"/>
          <w:szCs w:val="21"/>
          <w:bdr w:val="none" w:sz="0" w:space="0" w:color="auto" w:frame="1"/>
        </w:rPr>
        <w:t>References</w:t>
      </w:r>
    </w:p>
    <w:p w:rsidR="00CD2324" w:rsidRDefault="00CD2324" w:rsidP="00CD2324">
      <w:pPr>
        <w:pStyle w:val="NormalWeb"/>
        <w:shd w:val="clear" w:color="auto" w:fill="FFFFFF"/>
        <w:spacing w:before="0" w:after="0" w:line="276" w:lineRule="auto"/>
        <w:rPr>
          <w:rFonts w:ascii="Open Sans" w:hAnsi="Open Sans" w:cs="Open Sans"/>
          <w:color w:val="000000"/>
          <w:sz w:val="21"/>
          <w:szCs w:val="21"/>
        </w:rPr>
      </w:pPr>
      <w:r>
        <w:rPr>
          <w:rFonts w:ascii="Open Sans" w:hAnsi="Open Sans" w:cs="Open Sans"/>
          <w:color w:val="4B352F"/>
          <w:sz w:val="21"/>
          <w:szCs w:val="21"/>
          <w:bdr w:val="none" w:sz="0" w:space="0" w:color="auto" w:frame="1"/>
        </w:rPr>
        <w:t xml:space="preserve">Kawar, L. N., </w:t>
      </w:r>
      <w:proofErr w:type="spellStart"/>
      <w:r>
        <w:rPr>
          <w:rFonts w:ascii="Open Sans" w:hAnsi="Open Sans" w:cs="Open Sans"/>
          <w:color w:val="4B352F"/>
          <w:sz w:val="21"/>
          <w:szCs w:val="21"/>
          <w:bdr w:val="none" w:sz="0" w:space="0" w:color="auto" w:frame="1"/>
        </w:rPr>
        <w:t>Fangonil-Gagalang</w:t>
      </w:r>
      <w:proofErr w:type="spellEnd"/>
      <w:r>
        <w:rPr>
          <w:rFonts w:ascii="Open Sans" w:hAnsi="Open Sans" w:cs="Open Sans"/>
          <w:color w:val="4B352F"/>
          <w:sz w:val="21"/>
          <w:szCs w:val="21"/>
          <w:bdr w:val="none" w:sz="0" w:space="0" w:color="auto" w:frame="1"/>
        </w:rPr>
        <w:t xml:space="preserve">, E., </w:t>
      </w:r>
      <w:proofErr w:type="spellStart"/>
      <w:r>
        <w:rPr>
          <w:rFonts w:ascii="Open Sans" w:hAnsi="Open Sans" w:cs="Open Sans"/>
          <w:color w:val="4B352F"/>
          <w:sz w:val="21"/>
          <w:szCs w:val="21"/>
          <w:bdr w:val="none" w:sz="0" w:space="0" w:color="auto" w:frame="1"/>
        </w:rPr>
        <w:t>Failla</w:t>
      </w:r>
      <w:proofErr w:type="spellEnd"/>
      <w:r>
        <w:rPr>
          <w:rFonts w:ascii="Open Sans" w:hAnsi="Open Sans" w:cs="Open Sans"/>
          <w:color w:val="4B352F"/>
          <w:sz w:val="21"/>
          <w:szCs w:val="21"/>
          <w:bdr w:val="none" w:sz="0" w:space="0" w:color="auto" w:frame="1"/>
        </w:rPr>
        <w:t>, K. R., Aquino-</w:t>
      </w:r>
      <w:proofErr w:type="spellStart"/>
      <w:r>
        <w:rPr>
          <w:rFonts w:ascii="Open Sans" w:hAnsi="Open Sans" w:cs="Open Sans"/>
          <w:color w:val="4B352F"/>
          <w:sz w:val="21"/>
          <w:szCs w:val="21"/>
          <w:bdr w:val="none" w:sz="0" w:space="0" w:color="auto" w:frame="1"/>
        </w:rPr>
        <w:t>Maneja</w:t>
      </w:r>
      <w:proofErr w:type="spellEnd"/>
      <w:r>
        <w:rPr>
          <w:rFonts w:ascii="Open Sans" w:hAnsi="Open Sans" w:cs="Open Sans"/>
          <w:color w:val="4B352F"/>
          <w:sz w:val="21"/>
          <w:szCs w:val="21"/>
          <w:bdr w:val="none" w:sz="0" w:space="0" w:color="auto" w:frame="1"/>
        </w:rPr>
        <w:t xml:space="preserve">, E., Vaughn, S., &amp; </w:t>
      </w:r>
      <w:proofErr w:type="spellStart"/>
      <w:r>
        <w:rPr>
          <w:rFonts w:ascii="Open Sans" w:hAnsi="Open Sans" w:cs="Open Sans"/>
          <w:color w:val="4B352F"/>
          <w:sz w:val="21"/>
          <w:szCs w:val="21"/>
          <w:bdr w:val="none" w:sz="0" w:space="0" w:color="auto" w:frame="1"/>
        </w:rPr>
        <w:t>Mestler</w:t>
      </w:r>
      <w:proofErr w:type="spellEnd"/>
      <w:r>
        <w:rPr>
          <w:rFonts w:ascii="Open Sans" w:hAnsi="Open Sans" w:cs="Open Sans"/>
          <w:color w:val="4B352F"/>
          <w:sz w:val="21"/>
          <w:szCs w:val="21"/>
          <w:bdr w:val="none" w:sz="0" w:space="0" w:color="auto" w:frame="1"/>
        </w:rPr>
        <w:t xml:space="preserve"> Loos, N. (2024). Evidence-based practice implementation: Dependent on capacity and capabilities. </w:t>
      </w:r>
      <w:r>
        <w:rPr>
          <w:rStyle w:val="Emphasis"/>
          <w:rFonts w:ascii="inherit" w:hAnsi="inherit" w:cs="Open Sans"/>
          <w:color w:val="4B352F"/>
          <w:sz w:val="21"/>
          <w:szCs w:val="21"/>
          <w:bdr w:val="none" w:sz="0" w:space="0" w:color="auto" w:frame="1"/>
        </w:rPr>
        <w:t>JONA: The Journal of Nursing Administration, 54</w:t>
      </w:r>
      <w:r>
        <w:rPr>
          <w:rFonts w:ascii="Open Sans" w:hAnsi="Open Sans" w:cs="Open Sans"/>
          <w:color w:val="4B352F"/>
          <w:sz w:val="21"/>
          <w:szCs w:val="21"/>
          <w:bdr w:val="none" w:sz="0" w:space="0" w:color="auto" w:frame="1"/>
        </w:rPr>
        <w:t>(1), 35–39. </w:t>
      </w:r>
      <w:hyperlink r:id="rId6" w:tgtFrame="_blank" w:history="1">
        <w:r>
          <w:rPr>
            <w:rStyle w:val="Hyperlink"/>
            <w:rFonts w:ascii="inherit" w:hAnsi="inherit" w:cs="Open Sans"/>
            <w:color w:val="4B352F"/>
            <w:sz w:val="21"/>
            <w:szCs w:val="21"/>
            <w:bdr w:val="none" w:sz="0" w:space="0" w:color="auto" w:frame="1"/>
          </w:rPr>
          <w:t>https://doi.org/10.1097/NNA.0000000000001374</w:t>
        </w:r>
      </w:hyperlink>
    </w:p>
    <w:p w:rsidR="00CD2324" w:rsidRDefault="00CD2324" w:rsidP="00CD2324">
      <w:pPr>
        <w:pStyle w:val="NormalWeb"/>
        <w:shd w:val="clear" w:color="auto" w:fill="FFFFFF"/>
        <w:spacing w:before="0" w:after="0" w:line="276" w:lineRule="auto"/>
        <w:rPr>
          <w:rFonts w:ascii="Open Sans" w:hAnsi="Open Sans" w:cs="Open Sans"/>
          <w:color w:val="000000"/>
          <w:sz w:val="21"/>
          <w:szCs w:val="21"/>
        </w:rPr>
      </w:pPr>
      <w:r>
        <w:rPr>
          <w:rFonts w:ascii="Open Sans" w:hAnsi="Open Sans" w:cs="Open Sans"/>
          <w:color w:val="4B352F"/>
          <w:sz w:val="21"/>
          <w:szCs w:val="21"/>
          <w:bdr w:val="none" w:sz="0" w:space="0" w:color="auto" w:frame="1"/>
        </w:rPr>
        <w:t>Melnyk, B. M., &amp; Fineout-Overholt, E. (2023). </w:t>
      </w:r>
      <w:r>
        <w:rPr>
          <w:rStyle w:val="Emphasis"/>
          <w:rFonts w:ascii="inherit" w:hAnsi="inherit" w:cs="Open Sans"/>
          <w:color w:val="4B352F"/>
          <w:sz w:val="21"/>
          <w:szCs w:val="21"/>
          <w:bdr w:val="none" w:sz="0" w:space="0" w:color="auto" w:frame="1"/>
        </w:rPr>
        <w:t xml:space="preserve">Evidence-based practice in nursing &amp; healthcare: A guide to best </w:t>
      </w:r>
      <w:proofErr w:type="gramStart"/>
      <w:r>
        <w:rPr>
          <w:rStyle w:val="Emphasis"/>
          <w:rFonts w:ascii="inherit" w:hAnsi="inherit" w:cs="Open Sans"/>
          <w:color w:val="4B352F"/>
          <w:sz w:val="21"/>
          <w:szCs w:val="21"/>
          <w:bdr w:val="none" w:sz="0" w:space="0" w:color="auto" w:frame="1"/>
        </w:rPr>
        <w:t>practice</w:t>
      </w:r>
      <w:r>
        <w:rPr>
          <w:rFonts w:ascii="Open Sans" w:hAnsi="Open Sans" w:cs="Open Sans"/>
          <w:color w:val="4B352F"/>
          <w:sz w:val="21"/>
          <w:szCs w:val="21"/>
          <w:bdr w:val="none" w:sz="0" w:space="0" w:color="auto" w:frame="1"/>
        </w:rPr>
        <w:t>(</w:t>
      </w:r>
      <w:proofErr w:type="gramEnd"/>
      <w:r>
        <w:rPr>
          <w:rFonts w:ascii="Open Sans" w:hAnsi="Open Sans" w:cs="Open Sans"/>
          <w:color w:val="4B352F"/>
          <w:sz w:val="21"/>
          <w:szCs w:val="21"/>
          <w:bdr w:val="none" w:sz="0" w:space="0" w:color="auto" w:frame="1"/>
        </w:rPr>
        <w:t>5th ed.). Wolters Kluwer.</w:t>
      </w:r>
    </w:p>
    <w:p w:rsidR="00CD2324" w:rsidRDefault="00CD2324"/>
    <w:sectPr w:rsidR="00CD2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25"/>
    <w:rsid w:val="00191591"/>
    <w:rsid w:val="00536C25"/>
    <w:rsid w:val="006451FF"/>
    <w:rsid w:val="00B72657"/>
    <w:rsid w:val="00CD2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27A83E"/>
  <w15:chartTrackingRefBased/>
  <w15:docId w15:val="{B4981DD7-4033-C240-BF96-E5A8E941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6C25"/>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D2324"/>
    <w:rPr>
      <w:i/>
      <w:iCs/>
    </w:rPr>
  </w:style>
  <w:style w:type="character" w:styleId="Hyperlink">
    <w:name w:val="Hyperlink"/>
    <w:basedOn w:val="DefaultParagraphFont"/>
    <w:uiPriority w:val="99"/>
    <w:semiHidden/>
    <w:unhideWhenUsed/>
    <w:rsid w:val="00CD23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466337">
      <w:bodyDiv w:val="1"/>
      <w:marLeft w:val="0"/>
      <w:marRight w:val="0"/>
      <w:marTop w:val="0"/>
      <w:marBottom w:val="0"/>
      <w:divBdr>
        <w:top w:val="none" w:sz="0" w:space="0" w:color="auto"/>
        <w:left w:val="none" w:sz="0" w:space="0" w:color="auto"/>
        <w:bottom w:val="none" w:sz="0" w:space="0" w:color="auto"/>
        <w:right w:val="none" w:sz="0" w:space="0" w:color="auto"/>
      </w:divBdr>
    </w:div>
    <w:div w:id="849569426">
      <w:bodyDiv w:val="1"/>
      <w:marLeft w:val="0"/>
      <w:marRight w:val="0"/>
      <w:marTop w:val="0"/>
      <w:marBottom w:val="0"/>
      <w:divBdr>
        <w:top w:val="none" w:sz="0" w:space="0" w:color="auto"/>
        <w:left w:val="none" w:sz="0" w:space="0" w:color="auto"/>
        <w:bottom w:val="none" w:sz="0" w:space="0" w:color="auto"/>
        <w:right w:val="none" w:sz="0" w:space="0" w:color="auto"/>
      </w:divBdr>
    </w:div>
    <w:div w:id="155878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7/NNA.0000000000001374" TargetMode="External"/><Relationship Id="rId5" Type="http://schemas.openxmlformats.org/officeDocument/2006/relationships/hyperlink" Target="https://doi.org/10.1111/wvn.12557" TargetMode="External"/><Relationship Id="rId4" Type="http://schemas.openxmlformats.org/officeDocument/2006/relationships/hyperlink" Target="https://doi.org/10.3390/healthcare122222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774</Words>
  <Characters>4417</Characters>
  <Application>Microsoft Office Word</Application>
  <DocSecurity>0</DocSecurity>
  <Lines>36</Lines>
  <Paragraphs>10</Paragraphs>
  <ScaleCrop>false</ScaleCrop>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2026-08-21T05:50:00Z</dcterms:created>
  <dcterms:modified xsi:type="dcterms:W3CDTF">2026-08-21T05:52:00Z</dcterms:modified>
</cp:coreProperties>
</file>